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7473" w14:textId="28F26AEB" w:rsidR="00FA5093" w:rsidRDefault="00BF3ABA" w:rsidP="00BF3ABA">
      <w:pPr>
        <w:jc w:val="center"/>
        <w:rPr>
          <w:b/>
          <w:bCs/>
          <w:sz w:val="32"/>
          <w:szCs w:val="32"/>
        </w:rPr>
      </w:pPr>
      <w:r>
        <w:rPr>
          <w:b/>
          <w:bCs/>
          <w:sz w:val="32"/>
          <w:szCs w:val="32"/>
        </w:rPr>
        <w:t>FY 2023 Local Renewal Project Application</w:t>
      </w:r>
    </w:p>
    <w:p w14:paraId="39BC8238" w14:textId="03F08483" w:rsidR="00BF3ABA" w:rsidRDefault="00BF3ABA" w:rsidP="00BF3ABA">
      <w:pPr>
        <w:jc w:val="center"/>
        <w:rPr>
          <w:b/>
          <w:bCs/>
          <w:sz w:val="32"/>
          <w:szCs w:val="32"/>
        </w:rPr>
      </w:pPr>
      <w:r>
        <w:rPr>
          <w:b/>
          <w:bCs/>
          <w:sz w:val="32"/>
          <w:szCs w:val="32"/>
        </w:rPr>
        <w:t>Scoring Process</w:t>
      </w:r>
    </w:p>
    <w:p w14:paraId="500D6E4B" w14:textId="77777777" w:rsidR="00BF3ABA" w:rsidRDefault="00BF3ABA" w:rsidP="00BF3ABA">
      <w:pPr>
        <w:jc w:val="center"/>
        <w:rPr>
          <w:b/>
          <w:bCs/>
          <w:sz w:val="32"/>
          <w:szCs w:val="32"/>
        </w:rPr>
      </w:pPr>
    </w:p>
    <w:p w14:paraId="5C7D5C5A" w14:textId="2999E97C" w:rsidR="00BF3ABA" w:rsidRDefault="00BF3ABA" w:rsidP="00BF3ABA">
      <w:pPr>
        <w:rPr>
          <w:sz w:val="24"/>
          <w:szCs w:val="24"/>
        </w:rPr>
      </w:pPr>
      <w:r>
        <w:rPr>
          <w:sz w:val="24"/>
          <w:szCs w:val="24"/>
        </w:rPr>
        <w:t xml:space="preserve">The U.S. Department of Housing and Urban Development (HUD) Notice of Funding Opportunity (NOFO) for Fiscal Year (FY) 2023 Continuum of Care Competition is open until September 28, 2023. To fully complete the Consolidated Application, the TN 510 CoC local competition has begun and will end </w:t>
      </w:r>
      <w:r w:rsidRPr="003B00FE">
        <w:rPr>
          <w:b/>
          <w:bCs/>
          <w:sz w:val="24"/>
          <w:szCs w:val="24"/>
        </w:rPr>
        <w:t>August 25, 2023</w:t>
      </w:r>
      <w:r w:rsidR="00CD3BE1">
        <w:rPr>
          <w:sz w:val="24"/>
          <w:szCs w:val="24"/>
        </w:rPr>
        <w:t>, at 11:59 p.m.</w:t>
      </w:r>
      <w:r>
        <w:rPr>
          <w:sz w:val="24"/>
          <w:szCs w:val="24"/>
        </w:rPr>
        <w:t xml:space="preserve"> </w:t>
      </w:r>
      <w:r w:rsidR="006F266D">
        <w:rPr>
          <w:sz w:val="24"/>
          <w:szCs w:val="24"/>
        </w:rPr>
        <w:t>The full NOFO</w:t>
      </w:r>
      <w:r w:rsidR="005A40A0">
        <w:rPr>
          <w:sz w:val="24"/>
          <w:szCs w:val="24"/>
        </w:rPr>
        <w:t xml:space="preserve"> can be found at </w:t>
      </w:r>
      <w:hyperlink r:id="rId5" w:history="1">
        <w:r w:rsidR="006F266D">
          <w:rPr>
            <w:rStyle w:val="Hyperlink"/>
          </w:rPr>
          <w:t>FY 2023 CoC Program Competition: Funding Opportunity - HUD Exchange</w:t>
        </w:r>
      </w:hyperlink>
      <w:r w:rsidR="006F266D">
        <w:t>.</w:t>
      </w:r>
    </w:p>
    <w:p w14:paraId="05A12441" w14:textId="096F8C5D" w:rsidR="00B22DF8" w:rsidRDefault="00BF3ABA" w:rsidP="00BF3ABA">
      <w:pPr>
        <w:rPr>
          <w:sz w:val="24"/>
          <w:szCs w:val="24"/>
        </w:rPr>
      </w:pPr>
      <w:r>
        <w:rPr>
          <w:sz w:val="24"/>
          <w:szCs w:val="24"/>
        </w:rPr>
        <w:t>The TN 520</w:t>
      </w:r>
      <w:r w:rsidR="00B22DF8">
        <w:rPr>
          <w:sz w:val="24"/>
          <w:szCs w:val="24"/>
        </w:rPr>
        <w:t xml:space="preserve"> Local Renewal Application is attached and will utilize the following scoring process. </w:t>
      </w:r>
    </w:p>
    <w:p w14:paraId="6E1FEB96" w14:textId="77777777" w:rsidR="00853DB4" w:rsidRDefault="00853DB4" w:rsidP="00BF3ABA">
      <w:pPr>
        <w:rPr>
          <w:b/>
          <w:bCs/>
          <w:sz w:val="28"/>
          <w:szCs w:val="28"/>
        </w:rPr>
      </w:pPr>
    </w:p>
    <w:p w14:paraId="6365F121" w14:textId="24947381" w:rsidR="00B22DF8" w:rsidRDefault="00B22DF8" w:rsidP="00BF3ABA">
      <w:pPr>
        <w:rPr>
          <w:b/>
          <w:bCs/>
          <w:sz w:val="28"/>
          <w:szCs w:val="28"/>
        </w:rPr>
      </w:pPr>
      <w:r w:rsidRPr="00B22DF8">
        <w:rPr>
          <w:b/>
          <w:bCs/>
          <w:sz w:val="28"/>
          <w:szCs w:val="28"/>
        </w:rPr>
        <w:t>Rating and Ranking Committee</w:t>
      </w:r>
    </w:p>
    <w:p w14:paraId="05953ADA" w14:textId="44DF2E1C" w:rsidR="00B22DF8" w:rsidRDefault="00B22DF8" w:rsidP="00BF3ABA">
      <w:pPr>
        <w:rPr>
          <w:sz w:val="24"/>
          <w:szCs w:val="24"/>
        </w:rPr>
      </w:pPr>
      <w:r>
        <w:rPr>
          <w:sz w:val="24"/>
          <w:szCs w:val="24"/>
        </w:rPr>
        <w:t xml:space="preserve">All local applications are due to </w:t>
      </w:r>
      <w:hyperlink r:id="rId6" w:history="1">
        <w:r w:rsidR="004F2D7F" w:rsidRPr="000B2007">
          <w:rPr>
            <w:rStyle w:val="Hyperlink"/>
            <w:sz w:val="24"/>
            <w:szCs w:val="24"/>
          </w:rPr>
          <w:t>Kristen.Swann@yourlocaluw.org</w:t>
        </w:r>
      </w:hyperlink>
      <w:r w:rsidR="004F2D7F">
        <w:rPr>
          <w:sz w:val="24"/>
          <w:szCs w:val="24"/>
        </w:rPr>
        <w:t xml:space="preserve"> </w:t>
      </w:r>
      <w:r w:rsidRPr="002B018D">
        <w:rPr>
          <w:b/>
          <w:bCs/>
          <w:sz w:val="24"/>
          <w:szCs w:val="24"/>
        </w:rPr>
        <w:t>on August 25, 2023</w:t>
      </w:r>
      <w:r w:rsidR="00CD3BE1">
        <w:rPr>
          <w:sz w:val="24"/>
          <w:szCs w:val="24"/>
        </w:rPr>
        <w:t xml:space="preserve">, at 11:59 p.m. </w:t>
      </w:r>
      <w:r>
        <w:rPr>
          <w:sz w:val="24"/>
          <w:szCs w:val="24"/>
        </w:rPr>
        <w:t>Once submitted, the applications will be reviewed by the Rating and Ranking Committee with assistance from the local committee of people with lived experience</w:t>
      </w:r>
      <w:r w:rsidR="00AE30A8" w:rsidRPr="00CD3BE1">
        <w:rPr>
          <w:sz w:val="24"/>
          <w:szCs w:val="24"/>
        </w:rPr>
        <w:t>.</w:t>
      </w:r>
      <w:r w:rsidRPr="00CD3BE1">
        <w:rPr>
          <w:sz w:val="24"/>
          <w:szCs w:val="24"/>
        </w:rPr>
        <w:t xml:space="preserve"> </w:t>
      </w:r>
      <w:r w:rsidR="00AE30A8" w:rsidRPr="00CD3BE1">
        <w:rPr>
          <w:sz w:val="24"/>
          <w:szCs w:val="24"/>
        </w:rPr>
        <w:t xml:space="preserve">The committee is comprised of </w:t>
      </w:r>
      <w:r w:rsidRPr="00CD3BE1">
        <w:rPr>
          <w:sz w:val="24"/>
          <w:szCs w:val="24"/>
        </w:rPr>
        <w:t>individuals</w:t>
      </w:r>
      <w:r>
        <w:rPr>
          <w:sz w:val="24"/>
          <w:szCs w:val="24"/>
        </w:rPr>
        <w:t xml:space="preserve"> from the community who have vested interest in the CoC but are not in competition for CoC funding. </w:t>
      </w:r>
    </w:p>
    <w:p w14:paraId="4A325177" w14:textId="087B25B7" w:rsidR="00B22DF8" w:rsidRDefault="00B22DF8" w:rsidP="00BF3ABA">
      <w:pPr>
        <w:rPr>
          <w:sz w:val="24"/>
          <w:szCs w:val="24"/>
        </w:rPr>
      </w:pPr>
      <w:r>
        <w:rPr>
          <w:sz w:val="24"/>
          <w:szCs w:val="24"/>
        </w:rPr>
        <w:t xml:space="preserve">The rating and ranking committee will be </w:t>
      </w:r>
      <w:r w:rsidRPr="00CD3BE1">
        <w:rPr>
          <w:sz w:val="24"/>
          <w:szCs w:val="24"/>
        </w:rPr>
        <w:t xml:space="preserve">assisted by </w:t>
      </w:r>
      <w:r w:rsidR="00573187" w:rsidRPr="00CD3BE1">
        <w:rPr>
          <w:sz w:val="24"/>
          <w:szCs w:val="24"/>
        </w:rPr>
        <w:t>HMIS</w:t>
      </w:r>
      <w:r w:rsidR="00573187">
        <w:rPr>
          <w:sz w:val="24"/>
          <w:szCs w:val="24"/>
        </w:rPr>
        <w:t xml:space="preserve"> </w:t>
      </w:r>
      <w:r>
        <w:rPr>
          <w:sz w:val="24"/>
          <w:szCs w:val="24"/>
        </w:rPr>
        <w:t xml:space="preserve">staff to pull data from HMIS and </w:t>
      </w:r>
      <w:r w:rsidR="00573187">
        <w:rPr>
          <w:sz w:val="24"/>
          <w:szCs w:val="24"/>
        </w:rPr>
        <w:t>C</w:t>
      </w:r>
      <w:r w:rsidR="00C25950">
        <w:rPr>
          <w:sz w:val="24"/>
          <w:szCs w:val="24"/>
        </w:rPr>
        <w:t xml:space="preserve">oC </w:t>
      </w:r>
      <w:r>
        <w:rPr>
          <w:sz w:val="24"/>
          <w:szCs w:val="24"/>
        </w:rPr>
        <w:t xml:space="preserve">meeting attendance records confirming answers provided by renewal applicants. The committee will also utilize HUD and </w:t>
      </w:r>
      <w:r w:rsidRPr="004F2D7F">
        <w:rPr>
          <w:sz w:val="24"/>
          <w:szCs w:val="24"/>
        </w:rPr>
        <w:t>local priorities,</w:t>
      </w:r>
      <w:r>
        <w:rPr>
          <w:sz w:val="24"/>
          <w:szCs w:val="24"/>
        </w:rPr>
        <w:t xml:space="preserve"> which are as follows:</w:t>
      </w:r>
    </w:p>
    <w:p w14:paraId="6BE99699" w14:textId="55B221D0" w:rsidR="00B22DF8" w:rsidRDefault="00853DB4" w:rsidP="00853DB4">
      <w:pPr>
        <w:pStyle w:val="ListParagraph"/>
        <w:numPr>
          <w:ilvl w:val="0"/>
          <w:numId w:val="1"/>
        </w:numPr>
        <w:rPr>
          <w:sz w:val="24"/>
          <w:szCs w:val="24"/>
        </w:rPr>
      </w:pPr>
      <w:r>
        <w:rPr>
          <w:sz w:val="24"/>
          <w:szCs w:val="24"/>
        </w:rPr>
        <w:t>Ending homelessness for all persons.</w:t>
      </w:r>
    </w:p>
    <w:p w14:paraId="010ADC81" w14:textId="1CFD650C" w:rsidR="00853DB4" w:rsidRDefault="00853DB4" w:rsidP="00853DB4">
      <w:pPr>
        <w:pStyle w:val="ListParagraph"/>
        <w:numPr>
          <w:ilvl w:val="0"/>
          <w:numId w:val="1"/>
        </w:numPr>
        <w:rPr>
          <w:sz w:val="24"/>
          <w:szCs w:val="24"/>
        </w:rPr>
      </w:pPr>
      <w:r w:rsidRPr="00CD3BE1">
        <w:rPr>
          <w:sz w:val="24"/>
          <w:szCs w:val="24"/>
        </w:rPr>
        <w:t>U</w:t>
      </w:r>
      <w:r w:rsidR="00741221" w:rsidRPr="00CD3BE1">
        <w:rPr>
          <w:sz w:val="24"/>
          <w:szCs w:val="24"/>
        </w:rPr>
        <w:t>ti</w:t>
      </w:r>
      <w:r w:rsidR="002B018D" w:rsidRPr="00CD3BE1">
        <w:rPr>
          <w:sz w:val="24"/>
          <w:szCs w:val="24"/>
        </w:rPr>
        <w:t>lizing</w:t>
      </w:r>
      <w:r>
        <w:rPr>
          <w:sz w:val="24"/>
          <w:szCs w:val="24"/>
        </w:rPr>
        <w:t xml:space="preserve"> a Housing First approach.</w:t>
      </w:r>
    </w:p>
    <w:p w14:paraId="4BA39B3F" w14:textId="03355C56" w:rsidR="00853DB4" w:rsidRDefault="00853DB4" w:rsidP="00853DB4">
      <w:pPr>
        <w:pStyle w:val="ListParagraph"/>
        <w:numPr>
          <w:ilvl w:val="0"/>
          <w:numId w:val="1"/>
        </w:numPr>
        <w:rPr>
          <w:sz w:val="24"/>
          <w:szCs w:val="24"/>
        </w:rPr>
      </w:pPr>
      <w:r>
        <w:rPr>
          <w:sz w:val="24"/>
          <w:szCs w:val="24"/>
        </w:rPr>
        <w:t>Reducing Unsheltered Homelessness.</w:t>
      </w:r>
    </w:p>
    <w:p w14:paraId="4F5240F3" w14:textId="61556633" w:rsidR="00853DB4" w:rsidRDefault="00853DB4" w:rsidP="00853DB4">
      <w:pPr>
        <w:pStyle w:val="ListParagraph"/>
        <w:numPr>
          <w:ilvl w:val="0"/>
          <w:numId w:val="1"/>
        </w:numPr>
        <w:rPr>
          <w:sz w:val="24"/>
          <w:szCs w:val="24"/>
        </w:rPr>
      </w:pPr>
      <w:r>
        <w:rPr>
          <w:sz w:val="24"/>
          <w:szCs w:val="24"/>
        </w:rPr>
        <w:t>Improving System Performance.</w:t>
      </w:r>
    </w:p>
    <w:p w14:paraId="11E31E0F" w14:textId="6E7D852D" w:rsidR="00853DB4" w:rsidRDefault="00853DB4" w:rsidP="00853DB4">
      <w:pPr>
        <w:pStyle w:val="ListParagraph"/>
        <w:numPr>
          <w:ilvl w:val="0"/>
          <w:numId w:val="1"/>
        </w:numPr>
        <w:rPr>
          <w:sz w:val="24"/>
          <w:szCs w:val="24"/>
        </w:rPr>
      </w:pPr>
      <w:r>
        <w:rPr>
          <w:sz w:val="24"/>
          <w:szCs w:val="24"/>
        </w:rPr>
        <w:t>Partnering with Housing, Health and Service Agencies.</w:t>
      </w:r>
    </w:p>
    <w:p w14:paraId="19F18900" w14:textId="264593A2" w:rsidR="00853DB4" w:rsidRDefault="00853DB4" w:rsidP="00853DB4">
      <w:pPr>
        <w:pStyle w:val="ListParagraph"/>
        <w:numPr>
          <w:ilvl w:val="0"/>
          <w:numId w:val="1"/>
        </w:numPr>
        <w:rPr>
          <w:sz w:val="24"/>
          <w:szCs w:val="24"/>
        </w:rPr>
      </w:pPr>
      <w:r>
        <w:rPr>
          <w:sz w:val="24"/>
          <w:szCs w:val="24"/>
        </w:rPr>
        <w:t>Racial Equity</w:t>
      </w:r>
    </w:p>
    <w:p w14:paraId="10047490" w14:textId="606B0848" w:rsidR="00853DB4" w:rsidRDefault="00853DB4" w:rsidP="00853DB4">
      <w:pPr>
        <w:pStyle w:val="ListParagraph"/>
        <w:numPr>
          <w:ilvl w:val="0"/>
          <w:numId w:val="1"/>
        </w:numPr>
        <w:rPr>
          <w:sz w:val="24"/>
          <w:szCs w:val="24"/>
        </w:rPr>
      </w:pPr>
      <w:r>
        <w:rPr>
          <w:sz w:val="24"/>
          <w:szCs w:val="24"/>
        </w:rPr>
        <w:t>Improving Assistance to LGBTQ+.</w:t>
      </w:r>
    </w:p>
    <w:p w14:paraId="0B102065" w14:textId="1DE6ECBF" w:rsidR="00853DB4" w:rsidRDefault="00853DB4" w:rsidP="00853DB4">
      <w:pPr>
        <w:pStyle w:val="ListParagraph"/>
        <w:numPr>
          <w:ilvl w:val="0"/>
          <w:numId w:val="1"/>
        </w:numPr>
        <w:rPr>
          <w:sz w:val="24"/>
          <w:szCs w:val="24"/>
        </w:rPr>
      </w:pPr>
      <w:r>
        <w:rPr>
          <w:sz w:val="24"/>
          <w:szCs w:val="24"/>
        </w:rPr>
        <w:t>Persons with Lived Experience.</w:t>
      </w:r>
    </w:p>
    <w:p w14:paraId="273B36B3" w14:textId="112C6078" w:rsidR="00853DB4" w:rsidRPr="00853DB4" w:rsidRDefault="00853DB4" w:rsidP="00853DB4">
      <w:pPr>
        <w:pStyle w:val="ListParagraph"/>
        <w:numPr>
          <w:ilvl w:val="0"/>
          <w:numId w:val="1"/>
        </w:numPr>
        <w:rPr>
          <w:sz w:val="24"/>
          <w:szCs w:val="24"/>
        </w:rPr>
      </w:pPr>
      <w:r>
        <w:rPr>
          <w:sz w:val="24"/>
          <w:szCs w:val="24"/>
        </w:rPr>
        <w:t xml:space="preserve">Increasing Affordable Housing Supply. </w:t>
      </w:r>
    </w:p>
    <w:p w14:paraId="31BCA3EF" w14:textId="34AEA028" w:rsidR="00F959AC" w:rsidRDefault="00853DB4" w:rsidP="00BF3ABA">
      <w:pPr>
        <w:rPr>
          <w:sz w:val="24"/>
          <w:szCs w:val="24"/>
        </w:rPr>
      </w:pPr>
      <w:r>
        <w:rPr>
          <w:sz w:val="24"/>
          <w:szCs w:val="24"/>
        </w:rPr>
        <w:t>Further information of HUD’s priorities can be found in Section A.4.a. of the</w:t>
      </w:r>
      <w:r w:rsidR="00023FEB">
        <w:rPr>
          <w:sz w:val="24"/>
          <w:szCs w:val="24"/>
        </w:rPr>
        <w:t xml:space="preserve"> FY 2023</w:t>
      </w:r>
      <w:r>
        <w:rPr>
          <w:sz w:val="24"/>
          <w:szCs w:val="24"/>
        </w:rPr>
        <w:t xml:space="preserve"> NOFO.</w:t>
      </w:r>
    </w:p>
    <w:p w14:paraId="137C840A" w14:textId="77777777" w:rsidR="00853DB4" w:rsidRDefault="00853DB4" w:rsidP="00BF3ABA">
      <w:pPr>
        <w:rPr>
          <w:sz w:val="24"/>
          <w:szCs w:val="24"/>
        </w:rPr>
      </w:pPr>
    </w:p>
    <w:p w14:paraId="4B26BA64" w14:textId="39AECF6E" w:rsidR="00F959AC" w:rsidRDefault="00F959AC" w:rsidP="00BF3ABA">
      <w:pPr>
        <w:rPr>
          <w:b/>
          <w:bCs/>
          <w:sz w:val="28"/>
          <w:szCs w:val="28"/>
        </w:rPr>
      </w:pPr>
      <w:r>
        <w:rPr>
          <w:b/>
          <w:bCs/>
          <w:sz w:val="28"/>
          <w:szCs w:val="28"/>
        </w:rPr>
        <w:t>Renewal Application Scoring</w:t>
      </w:r>
    </w:p>
    <w:p w14:paraId="14E36950" w14:textId="4055BF68" w:rsidR="00170AFC" w:rsidRDefault="00F959AC" w:rsidP="00BF3ABA">
      <w:pPr>
        <w:rPr>
          <w:sz w:val="24"/>
          <w:szCs w:val="24"/>
        </w:rPr>
      </w:pPr>
      <w:r>
        <w:rPr>
          <w:sz w:val="24"/>
          <w:szCs w:val="24"/>
        </w:rPr>
        <w:t xml:space="preserve">The application will be broken into six sections: HUD Threshold </w:t>
      </w:r>
      <w:r w:rsidR="00170AFC">
        <w:rPr>
          <w:sz w:val="24"/>
          <w:szCs w:val="24"/>
        </w:rPr>
        <w:t>Requirements, CoC</w:t>
      </w:r>
      <w:r>
        <w:rPr>
          <w:sz w:val="24"/>
          <w:szCs w:val="24"/>
        </w:rPr>
        <w:t xml:space="preserve"> Threshold Requirements, Performance Measures, Serve High Need Populations, </w:t>
      </w:r>
      <w:r w:rsidR="00170AFC">
        <w:rPr>
          <w:sz w:val="24"/>
          <w:szCs w:val="24"/>
        </w:rPr>
        <w:t xml:space="preserve">Equity Factors, and Other. </w:t>
      </w:r>
      <w:r w:rsidR="00023FEB">
        <w:rPr>
          <w:sz w:val="24"/>
          <w:szCs w:val="24"/>
        </w:rPr>
        <w:lastRenderedPageBreak/>
        <w:t xml:space="preserve">HUD and CoC </w:t>
      </w:r>
      <w:r w:rsidR="0083011F">
        <w:rPr>
          <w:sz w:val="24"/>
          <w:szCs w:val="24"/>
        </w:rPr>
        <w:t xml:space="preserve">Threshold Requirements must be completed for the remainder of the application to be reviewed and scored. </w:t>
      </w:r>
    </w:p>
    <w:p w14:paraId="45D5B41D" w14:textId="203B2294" w:rsidR="00A900CD" w:rsidRDefault="00A900CD" w:rsidP="00BF3ABA">
      <w:pPr>
        <w:rPr>
          <w:sz w:val="24"/>
          <w:szCs w:val="24"/>
        </w:rPr>
      </w:pPr>
      <w:r>
        <w:rPr>
          <w:sz w:val="24"/>
          <w:szCs w:val="24"/>
        </w:rPr>
        <w:t xml:space="preserve">The full application has a maximum score of </w:t>
      </w:r>
      <w:r w:rsidR="005E0206" w:rsidRPr="005E0206">
        <w:rPr>
          <w:sz w:val="24"/>
          <w:szCs w:val="24"/>
          <w:highlight w:val="cyan"/>
        </w:rPr>
        <w:t>123</w:t>
      </w:r>
      <w:r>
        <w:rPr>
          <w:sz w:val="24"/>
          <w:szCs w:val="24"/>
        </w:rPr>
        <w:t xml:space="preserve"> points</w:t>
      </w:r>
      <w:r w:rsidR="00681081">
        <w:rPr>
          <w:sz w:val="24"/>
          <w:szCs w:val="24"/>
        </w:rPr>
        <w:t>.</w:t>
      </w:r>
    </w:p>
    <w:p w14:paraId="640C59ED" w14:textId="77777777" w:rsidR="00681081" w:rsidRDefault="00681081" w:rsidP="00BF3ABA">
      <w:pPr>
        <w:rPr>
          <w:sz w:val="24"/>
          <w:szCs w:val="24"/>
        </w:rPr>
      </w:pPr>
    </w:p>
    <w:p w14:paraId="41822754" w14:textId="43A2243C" w:rsidR="00170AFC" w:rsidRDefault="0083011F" w:rsidP="00BF3ABA">
      <w:pPr>
        <w:rPr>
          <w:sz w:val="24"/>
          <w:szCs w:val="24"/>
        </w:rPr>
      </w:pPr>
      <w:r>
        <w:rPr>
          <w:sz w:val="24"/>
          <w:szCs w:val="24"/>
        </w:rPr>
        <w:t>Scoring by section:</w:t>
      </w:r>
    </w:p>
    <w:p w14:paraId="58E6B4A6" w14:textId="7A77E40E" w:rsidR="0083011F" w:rsidRDefault="0083011F" w:rsidP="0083011F">
      <w:pPr>
        <w:pStyle w:val="ListParagraph"/>
        <w:numPr>
          <w:ilvl w:val="0"/>
          <w:numId w:val="2"/>
        </w:numPr>
        <w:rPr>
          <w:sz w:val="24"/>
          <w:szCs w:val="24"/>
        </w:rPr>
      </w:pPr>
      <w:r>
        <w:rPr>
          <w:sz w:val="24"/>
          <w:szCs w:val="24"/>
        </w:rPr>
        <w:t xml:space="preserve">Performance Measures has a maximum score of </w:t>
      </w:r>
      <w:r w:rsidR="00681081">
        <w:rPr>
          <w:sz w:val="24"/>
          <w:szCs w:val="24"/>
        </w:rPr>
        <w:t xml:space="preserve">58 for PSH and 58 for RRH. Each project will only be scored on the categories for their project type listed below. </w:t>
      </w:r>
    </w:p>
    <w:p w14:paraId="3510AA17" w14:textId="4D6748FB" w:rsidR="008A5609" w:rsidRDefault="008A5609" w:rsidP="008A5609">
      <w:pPr>
        <w:rPr>
          <w:sz w:val="24"/>
          <w:szCs w:val="24"/>
        </w:rPr>
      </w:pPr>
      <w:r>
        <w:rPr>
          <w:sz w:val="24"/>
          <w:szCs w:val="24"/>
        </w:rPr>
        <w:t>Performance Metrics</w:t>
      </w:r>
    </w:p>
    <w:p w14:paraId="39C7E9C8" w14:textId="79D12FFE" w:rsidR="008A5609" w:rsidRDefault="008A5609" w:rsidP="008A5609">
      <w:pPr>
        <w:rPr>
          <w:i/>
          <w:iCs/>
          <w:sz w:val="24"/>
          <w:szCs w:val="24"/>
        </w:rPr>
      </w:pPr>
      <w:r w:rsidRPr="008A5609">
        <w:rPr>
          <w:i/>
          <w:iCs/>
          <w:sz w:val="24"/>
          <w:szCs w:val="24"/>
        </w:rPr>
        <w:t xml:space="preserve">The Continuum of Care will use data from HMIS or a comparable database to evaluate a program’s prior performance. </w:t>
      </w:r>
    </w:p>
    <w:p w14:paraId="34ACABB6" w14:textId="77777777" w:rsidR="008A5609" w:rsidRDefault="008A5609" w:rsidP="008A5609">
      <w:pPr>
        <w:rPr>
          <w:i/>
          <w:iCs/>
          <w:sz w:val="24"/>
          <w:szCs w:val="24"/>
        </w:rPr>
      </w:pPr>
    </w:p>
    <w:tbl>
      <w:tblPr>
        <w:tblStyle w:val="TableGrid"/>
        <w:tblW w:w="9805" w:type="dxa"/>
        <w:tblLook w:val="04A0" w:firstRow="1" w:lastRow="0" w:firstColumn="1" w:lastColumn="0" w:noHBand="0" w:noVBand="1"/>
      </w:tblPr>
      <w:tblGrid>
        <w:gridCol w:w="985"/>
        <w:gridCol w:w="1620"/>
        <w:gridCol w:w="4140"/>
        <w:gridCol w:w="1620"/>
        <w:gridCol w:w="1440"/>
      </w:tblGrid>
      <w:tr w:rsidR="008A5609" w14:paraId="4DCD3723" w14:textId="28AB7D4E" w:rsidTr="008A5609">
        <w:tc>
          <w:tcPr>
            <w:tcW w:w="985" w:type="dxa"/>
          </w:tcPr>
          <w:p w14:paraId="065E70DF" w14:textId="628EEB5B" w:rsidR="008A5609" w:rsidRDefault="008A5609" w:rsidP="008A5609">
            <w:pPr>
              <w:rPr>
                <w:sz w:val="24"/>
                <w:szCs w:val="24"/>
              </w:rPr>
            </w:pPr>
            <w:r>
              <w:rPr>
                <w:sz w:val="24"/>
                <w:szCs w:val="24"/>
              </w:rPr>
              <w:t>PSH</w:t>
            </w:r>
          </w:p>
        </w:tc>
        <w:tc>
          <w:tcPr>
            <w:tcW w:w="1620" w:type="dxa"/>
          </w:tcPr>
          <w:p w14:paraId="701CD2AE" w14:textId="74741D6D" w:rsidR="008A5609" w:rsidRDefault="008A5609" w:rsidP="008A5609">
            <w:pPr>
              <w:rPr>
                <w:sz w:val="24"/>
                <w:szCs w:val="24"/>
              </w:rPr>
            </w:pPr>
            <w:r>
              <w:rPr>
                <w:sz w:val="24"/>
                <w:szCs w:val="24"/>
              </w:rPr>
              <w:t xml:space="preserve">Length of Stay </w:t>
            </w:r>
          </w:p>
        </w:tc>
        <w:tc>
          <w:tcPr>
            <w:tcW w:w="4140" w:type="dxa"/>
          </w:tcPr>
          <w:p w14:paraId="1CCB5BD8" w14:textId="1B29F666" w:rsidR="008A5609" w:rsidRDefault="008A5609" w:rsidP="008A5609">
            <w:pPr>
              <w:rPr>
                <w:sz w:val="24"/>
                <w:szCs w:val="24"/>
              </w:rPr>
            </w:pPr>
            <w:r>
              <w:rPr>
                <w:sz w:val="24"/>
                <w:szCs w:val="24"/>
              </w:rPr>
              <w:t>Days spent between project entry and residential move-in is less than 30 days = 15 points; 31-60 = 12 points; 61-180 days = 9 points; 181-365 days = 6 points; 366-730 days = 3 points</w:t>
            </w:r>
          </w:p>
        </w:tc>
        <w:tc>
          <w:tcPr>
            <w:tcW w:w="1620" w:type="dxa"/>
          </w:tcPr>
          <w:p w14:paraId="408F200C" w14:textId="011D57D4" w:rsidR="008A5609" w:rsidRDefault="008A5609" w:rsidP="008A5609">
            <w:pPr>
              <w:rPr>
                <w:sz w:val="24"/>
                <w:szCs w:val="24"/>
              </w:rPr>
            </w:pPr>
            <w:r>
              <w:rPr>
                <w:sz w:val="24"/>
                <w:szCs w:val="24"/>
              </w:rPr>
              <w:t xml:space="preserve">15 points possible </w:t>
            </w:r>
          </w:p>
        </w:tc>
        <w:tc>
          <w:tcPr>
            <w:tcW w:w="1440" w:type="dxa"/>
          </w:tcPr>
          <w:p w14:paraId="55F2E11E" w14:textId="77777777" w:rsidR="008A5609" w:rsidRDefault="008A5609" w:rsidP="008A5609">
            <w:pPr>
              <w:rPr>
                <w:sz w:val="24"/>
                <w:szCs w:val="24"/>
              </w:rPr>
            </w:pPr>
          </w:p>
        </w:tc>
      </w:tr>
      <w:tr w:rsidR="008A5609" w14:paraId="7552DE06" w14:textId="61B3162F" w:rsidTr="008A5609">
        <w:tc>
          <w:tcPr>
            <w:tcW w:w="985" w:type="dxa"/>
          </w:tcPr>
          <w:p w14:paraId="54C91E31" w14:textId="20AEFAB8" w:rsidR="008A5609" w:rsidRDefault="008A5609" w:rsidP="008A5609">
            <w:pPr>
              <w:rPr>
                <w:sz w:val="24"/>
                <w:szCs w:val="24"/>
              </w:rPr>
            </w:pPr>
            <w:r>
              <w:rPr>
                <w:sz w:val="24"/>
                <w:szCs w:val="24"/>
              </w:rPr>
              <w:t xml:space="preserve">RRH </w:t>
            </w:r>
          </w:p>
        </w:tc>
        <w:tc>
          <w:tcPr>
            <w:tcW w:w="1620" w:type="dxa"/>
          </w:tcPr>
          <w:p w14:paraId="42982DE5" w14:textId="2C61FF70" w:rsidR="008A5609" w:rsidRDefault="008A5609" w:rsidP="008A5609">
            <w:pPr>
              <w:rPr>
                <w:sz w:val="24"/>
                <w:szCs w:val="24"/>
              </w:rPr>
            </w:pPr>
            <w:r>
              <w:rPr>
                <w:sz w:val="24"/>
                <w:szCs w:val="24"/>
              </w:rPr>
              <w:t xml:space="preserve">Length of Stay </w:t>
            </w:r>
          </w:p>
        </w:tc>
        <w:tc>
          <w:tcPr>
            <w:tcW w:w="4140" w:type="dxa"/>
          </w:tcPr>
          <w:p w14:paraId="632579D7" w14:textId="720955F6" w:rsidR="008A5609" w:rsidRDefault="008A5609" w:rsidP="008A5609">
            <w:pPr>
              <w:rPr>
                <w:sz w:val="24"/>
                <w:szCs w:val="24"/>
              </w:rPr>
            </w:pPr>
            <w:r>
              <w:rPr>
                <w:sz w:val="24"/>
                <w:szCs w:val="24"/>
              </w:rPr>
              <w:t xml:space="preserve">Days spent between project entry and residential move-in is less than 30 days = 15 points; 31-60 = 12 points; 61-180 days = 9 points; 181 – 365 = 6 points; 366-730 = 5 points </w:t>
            </w:r>
          </w:p>
        </w:tc>
        <w:tc>
          <w:tcPr>
            <w:tcW w:w="1620" w:type="dxa"/>
          </w:tcPr>
          <w:p w14:paraId="2FC00A2B" w14:textId="49B8791A" w:rsidR="008A5609" w:rsidRDefault="008A5609" w:rsidP="008A5609">
            <w:pPr>
              <w:rPr>
                <w:sz w:val="24"/>
                <w:szCs w:val="24"/>
              </w:rPr>
            </w:pPr>
            <w:r>
              <w:rPr>
                <w:sz w:val="24"/>
                <w:szCs w:val="24"/>
              </w:rPr>
              <w:t xml:space="preserve">15 points possible </w:t>
            </w:r>
          </w:p>
        </w:tc>
        <w:tc>
          <w:tcPr>
            <w:tcW w:w="1440" w:type="dxa"/>
          </w:tcPr>
          <w:p w14:paraId="2E67048F" w14:textId="77777777" w:rsidR="008A5609" w:rsidRDefault="008A5609" w:rsidP="008A5609">
            <w:pPr>
              <w:rPr>
                <w:sz w:val="24"/>
                <w:szCs w:val="24"/>
              </w:rPr>
            </w:pPr>
          </w:p>
        </w:tc>
      </w:tr>
      <w:tr w:rsidR="008A5609" w:rsidRPr="008A5609" w14:paraId="7B6E9C85" w14:textId="4126A29D" w:rsidTr="008A5609">
        <w:tc>
          <w:tcPr>
            <w:tcW w:w="985" w:type="dxa"/>
          </w:tcPr>
          <w:p w14:paraId="071C742F" w14:textId="2F814355" w:rsidR="008A5609" w:rsidRDefault="008A5609" w:rsidP="008A5609">
            <w:pPr>
              <w:rPr>
                <w:sz w:val="24"/>
                <w:szCs w:val="24"/>
              </w:rPr>
            </w:pPr>
            <w:r>
              <w:rPr>
                <w:sz w:val="24"/>
                <w:szCs w:val="24"/>
              </w:rPr>
              <w:t xml:space="preserve">PSH </w:t>
            </w:r>
          </w:p>
        </w:tc>
        <w:tc>
          <w:tcPr>
            <w:tcW w:w="1620" w:type="dxa"/>
          </w:tcPr>
          <w:p w14:paraId="69A1E70B" w14:textId="475BDA87" w:rsidR="008A5609" w:rsidRDefault="008A5609" w:rsidP="008A5609">
            <w:pPr>
              <w:rPr>
                <w:sz w:val="24"/>
                <w:szCs w:val="24"/>
              </w:rPr>
            </w:pPr>
            <w:r>
              <w:rPr>
                <w:sz w:val="24"/>
                <w:szCs w:val="24"/>
              </w:rPr>
              <w:t xml:space="preserve">Exits to Permanent Housing </w:t>
            </w:r>
          </w:p>
        </w:tc>
        <w:tc>
          <w:tcPr>
            <w:tcW w:w="4140" w:type="dxa"/>
          </w:tcPr>
          <w:p w14:paraId="03298524" w14:textId="67F68C38" w:rsidR="008A5609" w:rsidRPr="008A5609" w:rsidRDefault="008A5609" w:rsidP="008A5609">
            <w:pPr>
              <w:rPr>
                <w:sz w:val="24"/>
                <w:szCs w:val="24"/>
              </w:rPr>
            </w:pPr>
            <w:r w:rsidRPr="008A5609">
              <w:rPr>
                <w:sz w:val="24"/>
                <w:szCs w:val="24"/>
              </w:rPr>
              <w:t>100% of participants exit PSH to a</w:t>
            </w:r>
            <w:r>
              <w:rPr>
                <w:sz w:val="24"/>
                <w:szCs w:val="24"/>
              </w:rPr>
              <w:t xml:space="preserve"> HUD defined permanent housing option or remaining in </w:t>
            </w:r>
            <w:r w:rsidR="00F5044B">
              <w:rPr>
                <w:sz w:val="24"/>
                <w:szCs w:val="24"/>
              </w:rPr>
              <w:t>housing =</w:t>
            </w:r>
            <w:r>
              <w:rPr>
                <w:sz w:val="24"/>
                <w:szCs w:val="24"/>
              </w:rPr>
              <w:t xml:space="preserve"> 25 points; 99%-85% = 20 points; 84%-75% = 15 points; 74% - 60% = 10 points; 59%-25% = 5 points; less than</w:t>
            </w:r>
            <w:r w:rsidR="00027603">
              <w:rPr>
                <w:sz w:val="24"/>
                <w:szCs w:val="24"/>
              </w:rPr>
              <w:t xml:space="preserve"> 25% = 2 points</w:t>
            </w:r>
          </w:p>
        </w:tc>
        <w:tc>
          <w:tcPr>
            <w:tcW w:w="1620" w:type="dxa"/>
          </w:tcPr>
          <w:p w14:paraId="6AE55805" w14:textId="1A683606" w:rsidR="008A5609" w:rsidRPr="008A5609" w:rsidRDefault="00F5044B" w:rsidP="008A5609">
            <w:pPr>
              <w:rPr>
                <w:sz w:val="24"/>
                <w:szCs w:val="24"/>
              </w:rPr>
            </w:pPr>
            <w:r>
              <w:rPr>
                <w:sz w:val="24"/>
                <w:szCs w:val="24"/>
              </w:rPr>
              <w:t xml:space="preserve">25 points possible </w:t>
            </w:r>
          </w:p>
        </w:tc>
        <w:tc>
          <w:tcPr>
            <w:tcW w:w="1440" w:type="dxa"/>
          </w:tcPr>
          <w:p w14:paraId="02393183" w14:textId="77777777" w:rsidR="008A5609" w:rsidRPr="008A5609" w:rsidRDefault="008A5609" w:rsidP="008A5609">
            <w:pPr>
              <w:rPr>
                <w:sz w:val="24"/>
                <w:szCs w:val="24"/>
              </w:rPr>
            </w:pPr>
          </w:p>
        </w:tc>
      </w:tr>
      <w:tr w:rsidR="008A5609" w:rsidRPr="00CC7EF3" w14:paraId="7C9B80D2" w14:textId="672D2536" w:rsidTr="008A5609">
        <w:tc>
          <w:tcPr>
            <w:tcW w:w="985" w:type="dxa"/>
          </w:tcPr>
          <w:p w14:paraId="5D779007" w14:textId="1F14C0F4" w:rsidR="008A5609" w:rsidRPr="008A5609" w:rsidRDefault="00F5044B" w:rsidP="008A5609">
            <w:pPr>
              <w:rPr>
                <w:sz w:val="24"/>
                <w:szCs w:val="24"/>
              </w:rPr>
            </w:pPr>
            <w:r>
              <w:rPr>
                <w:sz w:val="24"/>
                <w:szCs w:val="24"/>
              </w:rPr>
              <w:t>RRH</w:t>
            </w:r>
          </w:p>
        </w:tc>
        <w:tc>
          <w:tcPr>
            <w:tcW w:w="1620" w:type="dxa"/>
          </w:tcPr>
          <w:p w14:paraId="4EDD442B" w14:textId="2B2BC74B" w:rsidR="008A5609" w:rsidRPr="008A5609" w:rsidRDefault="00F5044B" w:rsidP="008A5609">
            <w:pPr>
              <w:rPr>
                <w:sz w:val="24"/>
                <w:szCs w:val="24"/>
              </w:rPr>
            </w:pPr>
            <w:r>
              <w:rPr>
                <w:sz w:val="24"/>
                <w:szCs w:val="24"/>
              </w:rPr>
              <w:t xml:space="preserve">Exits to Permanent Housing </w:t>
            </w:r>
          </w:p>
        </w:tc>
        <w:tc>
          <w:tcPr>
            <w:tcW w:w="4140" w:type="dxa"/>
          </w:tcPr>
          <w:p w14:paraId="198D077B" w14:textId="0F63A1AD" w:rsidR="008A5609" w:rsidRPr="00CC7EF3" w:rsidRDefault="00CC7EF3" w:rsidP="008A5609">
            <w:pPr>
              <w:rPr>
                <w:sz w:val="24"/>
                <w:szCs w:val="24"/>
              </w:rPr>
            </w:pPr>
            <w:r w:rsidRPr="00CC7EF3">
              <w:rPr>
                <w:sz w:val="24"/>
                <w:szCs w:val="24"/>
              </w:rPr>
              <w:t>100% of participants exit RRH to</w:t>
            </w:r>
            <w:r>
              <w:rPr>
                <w:sz w:val="24"/>
                <w:szCs w:val="24"/>
              </w:rPr>
              <w:t xml:space="preserve"> a HUD defined permanent housing option = 25 points; 99%-85% = 20 points; 84%-75% = 15 points; 74% - 60% = 10 points; 59% - 25% = 5 points; less than 25% = 2 points</w:t>
            </w:r>
          </w:p>
        </w:tc>
        <w:tc>
          <w:tcPr>
            <w:tcW w:w="1620" w:type="dxa"/>
          </w:tcPr>
          <w:p w14:paraId="5264B5B3" w14:textId="69771AF9" w:rsidR="008A5609" w:rsidRPr="00CC7EF3" w:rsidRDefault="00CC7EF3" w:rsidP="008A5609">
            <w:pPr>
              <w:rPr>
                <w:sz w:val="24"/>
                <w:szCs w:val="24"/>
              </w:rPr>
            </w:pPr>
            <w:r>
              <w:rPr>
                <w:sz w:val="24"/>
                <w:szCs w:val="24"/>
              </w:rPr>
              <w:t xml:space="preserve">25 Points possible </w:t>
            </w:r>
          </w:p>
        </w:tc>
        <w:tc>
          <w:tcPr>
            <w:tcW w:w="1440" w:type="dxa"/>
          </w:tcPr>
          <w:p w14:paraId="49F9726B" w14:textId="77777777" w:rsidR="008A5609" w:rsidRPr="00CC7EF3" w:rsidRDefault="008A5609" w:rsidP="008A5609">
            <w:pPr>
              <w:rPr>
                <w:sz w:val="24"/>
                <w:szCs w:val="24"/>
              </w:rPr>
            </w:pPr>
          </w:p>
        </w:tc>
      </w:tr>
      <w:tr w:rsidR="008A5609" w:rsidRPr="00CC7EF3" w14:paraId="67768D19" w14:textId="01A74FA3" w:rsidTr="008A5609">
        <w:tc>
          <w:tcPr>
            <w:tcW w:w="985" w:type="dxa"/>
          </w:tcPr>
          <w:p w14:paraId="74A9EE99" w14:textId="67E37383" w:rsidR="008A5609" w:rsidRPr="00CC7EF3" w:rsidRDefault="00CC7EF3" w:rsidP="008A5609">
            <w:pPr>
              <w:rPr>
                <w:sz w:val="24"/>
                <w:szCs w:val="24"/>
              </w:rPr>
            </w:pPr>
            <w:r>
              <w:rPr>
                <w:sz w:val="24"/>
                <w:szCs w:val="24"/>
              </w:rPr>
              <w:t xml:space="preserve">Stayers </w:t>
            </w:r>
          </w:p>
        </w:tc>
        <w:tc>
          <w:tcPr>
            <w:tcW w:w="1620" w:type="dxa"/>
          </w:tcPr>
          <w:p w14:paraId="36335C98" w14:textId="1B807D2D" w:rsidR="008A5609" w:rsidRPr="00CC7EF3" w:rsidRDefault="00CC7EF3" w:rsidP="008A5609">
            <w:pPr>
              <w:rPr>
                <w:sz w:val="24"/>
                <w:szCs w:val="24"/>
              </w:rPr>
            </w:pPr>
            <w:r>
              <w:rPr>
                <w:sz w:val="24"/>
                <w:szCs w:val="24"/>
              </w:rPr>
              <w:t>New or increased earned income</w:t>
            </w:r>
          </w:p>
        </w:tc>
        <w:tc>
          <w:tcPr>
            <w:tcW w:w="4140" w:type="dxa"/>
          </w:tcPr>
          <w:p w14:paraId="6B73F42E" w14:textId="60C08FE0" w:rsidR="008A5609" w:rsidRPr="00CC7EF3" w:rsidRDefault="00CC7EF3" w:rsidP="008A5609">
            <w:pPr>
              <w:rPr>
                <w:sz w:val="24"/>
                <w:szCs w:val="24"/>
              </w:rPr>
            </w:pPr>
            <w:r>
              <w:rPr>
                <w:sz w:val="24"/>
                <w:szCs w:val="24"/>
              </w:rPr>
              <w:t>50% or more of project stayers have new or increased earned income = 6 points; 49% - 40% = 5 points; 39% - 30% = 4 points; 29% - 20% = 3 points; 19% - 10% = 2 points; less than 10% = 1 point</w:t>
            </w:r>
          </w:p>
        </w:tc>
        <w:tc>
          <w:tcPr>
            <w:tcW w:w="1620" w:type="dxa"/>
          </w:tcPr>
          <w:p w14:paraId="5A6B750E" w14:textId="0D1E4193" w:rsidR="008A5609" w:rsidRPr="00CC7EF3" w:rsidRDefault="00CC7EF3" w:rsidP="008A5609">
            <w:pPr>
              <w:rPr>
                <w:sz w:val="24"/>
                <w:szCs w:val="24"/>
              </w:rPr>
            </w:pPr>
            <w:r>
              <w:rPr>
                <w:sz w:val="24"/>
                <w:szCs w:val="24"/>
              </w:rPr>
              <w:t>6 points possible</w:t>
            </w:r>
          </w:p>
        </w:tc>
        <w:tc>
          <w:tcPr>
            <w:tcW w:w="1440" w:type="dxa"/>
          </w:tcPr>
          <w:p w14:paraId="0AA6CEC0" w14:textId="77777777" w:rsidR="008A5609" w:rsidRPr="00CC7EF3" w:rsidRDefault="008A5609" w:rsidP="008A5609">
            <w:pPr>
              <w:rPr>
                <w:sz w:val="24"/>
                <w:szCs w:val="24"/>
              </w:rPr>
            </w:pPr>
          </w:p>
        </w:tc>
      </w:tr>
      <w:tr w:rsidR="00CC7EF3" w:rsidRPr="00CC7EF3" w14:paraId="551F859E" w14:textId="77777777" w:rsidTr="008A5609">
        <w:tc>
          <w:tcPr>
            <w:tcW w:w="985" w:type="dxa"/>
          </w:tcPr>
          <w:p w14:paraId="192E027E" w14:textId="0F5E2AE9" w:rsidR="00CC7EF3" w:rsidRDefault="00CC7EF3" w:rsidP="008A5609">
            <w:pPr>
              <w:rPr>
                <w:sz w:val="24"/>
                <w:szCs w:val="24"/>
              </w:rPr>
            </w:pPr>
            <w:r>
              <w:rPr>
                <w:sz w:val="24"/>
                <w:szCs w:val="24"/>
              </w:rPr>
              <w:t xml:space="preserve">Stayers </w:t>
            </w:r>
          </w:p>
        </w:tc>
        <w:tc>
          <w:tcPr>
            <w:tcW w:w="1620" w:type="dxa"/>
          </w:tcPr>
          <w:p w14:paraId="15225B2A" w14:textId="710827A5" w:rsidR="00CC7EF3" w:rsidRDefault="00CC7EF3" w:rsidP="008A5609">
            <w:pPr>
              <w:rPr>
                <w:sz w:val="24"/>
                <w:szCs w:val="24"/>
              </w:rPr>
            </w:pPr>
            <w:r>
              <w:rPr>
                <w:sz w:val="24"/>
                <w:szCs w:val="24"/>
              </w:rPr>
              <w:t xml:space="preserve">New or increased other income </w:t>
            </w:r>
          </w:p>
        </w:tc>
        <w:tc>
          <w:tcPr>
            <w:tcW w:w="4140" w:type="dxa"/>
          </w:tcPr>
          <w:p w14:paraId="6210275B" w14:textId="4955ACF9" w:rsidR="00CC7EF3" w:rsidRDefault="00CC7EF3" w:rsidP="008A5609">
            <w:pPr>
              <w:rPr>
                <w:sz w:val="24"/>
                <w:szCs w:val="24"/>
              </w:rPr>
            </w:pPr>
            <w:r>
              <w:rPr>
                <w:sz w:val="24"/>
                <w:szCs w:val="24"/>
              </w:rPr>
              <w:t>50% or more of project stayers have new or increased other income = 3 points; 49% - 25% = 2 points; 24% - 10% = 1 point</w:t>
            </w:r>
          </w:p>
        </w:tc>
        <w:tc>
          <w:tcPr>
            <w:tcW w:w="1620" w:type="dxa"/>
          </w:tcPr>
          <w:p w14:paraId="20C2CABE" w14:textId="7887F9DC" w:rsidR="00CC7EF3" w:rsidRDefault="00CC7EF3" w:rsidP="008A5609">
            <w:pPr>
              <w:rPr>
                <w:sz w:val="24"/>
                <w:szCs w:val="24"/>
              </w:rPr>
            </w:pPr>
            <w:r>
              <w:rPr>
                <w:sz w:val="24"/>
                <w:szCs w:val="24"/>
              </w:rPr>
              <w:t>3 points possible</w:t>
            </w:r>
          </w:p>
        </w:tc>
        <w:tc>
          <w:tcPr>
            <w:tcW w:w="1440" w:type="dxa"/>
          </w:tcPr>
          <w:p w14:paraId="6BE89816" w14:textId="77777777" w:rsidR="00CC7EF3" w:rsidRPr="00CC7EF3" w:rsidRDefault="00CC7EF3" w:rsidP="008A5609">
            <w:pPr>
              <w:rPr>
                <w:sz w:val="24"/>
                <w:szCs w:val="24"/>
              </w:rPr>
            </w:pPr>
          </w:p>
        </w:tc>
      </w:tr>
      <w:tr w:rsidR="00CC7EF3" w:rsidRPr="00CC7EF3" w14:paraId="5375A41E" w14:textId="77777777" w:rsidTr="008A5609">
        <w:tc>
          <w:tcPr>
            <w:tcW w:w="985" w:type="dxa"/>
          </w:tcPr>
          <w:p w14:paraId="56C94DE9" w14:textId="42D51EFF" w:rsidR="00CC7EF3" w:rsidRDefault="00CC7EF3" w:rsidP="00CC7EF3">
            <w:pPr>
              <w:rPr>
                <w:sz w:val="24"/>
                <w:szCs w:val="24"/>
              </w:rPr>
            </w:pPr>
            <w:r>
              <w:rPr>
                <w:sz w:val="24"/>
                <w:szCs w:val="24"/>
              </w:rPr>
              <w:t xml:space="preserve">Leavers </w:t>
            </w:r>
          </w:p>
        </w:tc>
        <w:tc>
          <w:tcPr>
            <w:tcW w:w="1620" w:type="dxa"/>
          </w:tcPr>
          <w:p w14:paraId="03BEC162" w14:textId="798600C7" w:rsidR="00CC7EF3" w:rsidRDefault="00CC7EF3" w:rsidP="00CC7EF3">
            <w:pPr>
              <w:rPr>
                <w:sz w:val="24"/>
                <w:szCs w:val="24"/>
              </w:rPr>
            </w:pPr>
            <w:r>
              <w:rPr>
                <w:sz w:val="24"/>
                <w:szCs w:val="24"/>
              </w:rPr>
              <w:t>New or increased earned income</w:t>
            </w:r>
          </w:p>
        </w:tc>
        <w:tc>
          <w:tcPr>
            <w:tcW w:w="4140" w:type="dxa"/>
          </w:tcPr>
          <w:p w14:paraId="480D88FE" w14:textId="0DAC58A4" w:rsidR="00CC7EF3" w:rsidRDefault="00CC7EF3" w:rsidP="00CC7EF3">
            <w:pPr>
              <w:rPr>
                <w:sz w:val="24"/>
                <w:szCs w:val="24"/>
              </w:rPr>
            </w:pPr>
            <w:r>
              <w:rPr>
                <w:sz w:val="24"/>
                <w:szCs w:val="24"/>
              </w:rPr>
              <w:t xml:space="preserve">50% or more of project </w:t>
            </w:r>
            <w:r>
              <w:rPr>
                <w:sz w:val="24"/>
                <w:szCs w:val="24"/>
              </w:rPr>
              <w:t>leavers</w:t>
            </w:r>
            <w:r>
              <w:rPr>
                <w:sz w:val="24"/>
                <w:szCs w:val="24"/>
              </w:rPr>
              <w:t xml:space="preserve"> have new or increased earned income = 6 points; 49% - 40% = 5 points; 39% - 30% = 4 points; 29% - 20% = 3 points; 19% - 10% = 2 points; less than 10% = 1 point</w:t>
            </w:r>
          </w:p>
        </w:tc>
        <w:tc>
          <w:tcPr>
            <w:tcW w:w="1620" w:type="dxa"/>
          </w:tcPr>
          <w:p w14:paraId="4A4D618C" w14:textId="5CC66AE9" w:rsidR="00CC7EF3" w:rsidRDefault="00CC7EF3" w:rsidP="00CC7EF3">
            <w:pPr>
              <w:rPr>
                <w:sz w:val="24"/>
                <w:szCs w:val="24"/>
              </w:rPr>
            </w:pPr>
            <w:r>
              <w:rPr>
                <w:sz w:val="24"/>
                <w:szCs w:val="24"/>
              </w:rPr>
              <w:t>6 points possible</w:t>
            </w:r>
          </w:p>
        </w:tc>
        <w:tc>
          <w:tcPr>
            <w:tcW w:w="1440" w:type="dxa"/>
          </w:tcPr>
          <w:p w14:paraId="15A41992" w14:textId="77777777" w:rsidR="00CC7EF3" w:rsidRPr="00CC7EF3" w:rsidRDefault="00CC7EF3" w:rsidP="00CC7EF3">
            <w:pPr>
              <w:rPr>
                <w:sz w:val="24"/>
                <w:szCs w:val="24"/>
              </w:rPr>
            </w:pPr>
          </w:p>
        </w:tc>
      </w:tr>
      <w:tr w:rsidR="00CC7EF3" w:rsidRPr="00CC7EF3" w14:paraId="3594B24E" w14:textId="77777777" w:rsidTr="008A5609">
        <w:tc>
          <w:tcPr>
            <w:tcW w:w="985" w:type="dxa"/>
          </w:tcPr>
          <w:p w14:paraId="51A0E83B" w14:textId="2378230A" w:rsidR="00CC7EF3" w:rsidRDefault="00CC7EF3" w:rsidP="00CC7EF3">
            <w:pPr>
              <w:rPr>
                <w:sz w:val="24"/>
                <w:szCs w:val="24"/>
              </w:rPr>
            </w:pPr>
            <w:r>
              <w:rPr>
                <w:sz w:val="24"/>
                <w:szCs w:val="24"/>
              </w:rPr>
              <w:t xml:space="preserve">Leavers </w:t>
            </w:r>
          </w:p>
        </w:tc>
        <w:tc>
          <w:tcPr>
            <w:tcW w:w="1620" w:type="dxa"/>
          </w:tcPr>
          <w:p w14:paraId="24FA04BD" w14:textId="5CF09714" w:rsidR="00CC7EF3" w:rsidRDefault="00CC7EF3" w:rsidP="00CC7EF3">
            <w:pPr>
              <w:rPr>
                <w:sz w:val="24"/>
                <w:szCs w:val="24"/>
              </w:rPr>
            </w:pPr>
            <w:r>
              <w:rPr>
                <w:sz w:val="24"/>
                <w:szCs w:val="24"/>
              </w:rPr>
              <w:t xml:space="preserve">New or increased other income </w:t>
            </w:r>
          </w:p>
        </w:tc>
        <w:tc>
          <w:tcPr>
            <w:tcW w:w="4140" w:type="dxa"/>
          </w:tcPr>
          <w:p w14:paraId="26949051" w14:textId="3BD4CD85" w:rsidR="00CC7EF3" w:rsidRDefault="00CC7EF3" w:rsidP="00CC7EF3">
            <w:pPr>
              <w:rPr>
                <w:sz w:val="24"/>
                <w:szCs w:val="24"/>
              </w:rPr>
            </w:pPr>
            <w:r>
              <w:rPr>
                <w:sz w:val="24"/>
                <w:szCs w:val="24"/>
              </w:rPr>
              <w:t xml:space="preserve">50% or more of project </w:t>
            </w:r>
            <w:r>
              <w:rPr>
                <w:sz w:val="24"/>
                <w:szCs w:val="24"/>
              </w:rPr>
              <w:t>leavers</w:t>
            </w:r>
            <w:r>
              <w:rPr>
                <w:sz w:val="24"/>
                <w:szCs w:val="24"/>
              </w:rPr>
              <w:t xml:space="preserve"> have new or increased other income = 3 points; 49% - 25% = 2 points; 24% - 10% = 1 point</w:t>
            </w:r>
          </w:p>
        </w:tc>
        <w:tc>
          <w:tcPr>
            <w:tcW w:w="1620" w:type="dxa"/>
          </w:tcPr>
          <w:p w14:paraId="2C713C1C" w14:textId="138964F6" w:rsidR="00CC7EF3" w:rsidRDefault="00CC7EF3" w:rsidP="00CC7EF3">
            <w:pPr>
              <w:rPr>
                <w:sz w:val="24"/>
                <w:szCs w:val="24"/>
              </w:rPr>
            </w:pPr>
            <w:r>
              <w:rPr>
                <w:sz w:val="24"/>
                <w:szCs w:val="24"/>
              </w:rPr>
              <w:t>3 points possible</w:t>
            </w:r>
          </w:p>
        </w:tc>
        <w:tc>
          <w:tcPr>
            <w:tcW w:w="1440" w:type="dxa"/>
          </w:tcPr>
          <w:p w14:paraId="0F1BB8FE" w14:textId="77777777" w:rsidR="00CC7EF3" w:rsidRPr="00CC7EF3" w:rsidRDefault="00CC7EF3" w:rsidP="00CC7EF3">
            <w:pPr>
              <w:rPr>
                <w:sz w:val="24"/>
                <w:szCs w:val="24"/>
              </w:rPr>
            </w:pPr>
          </w:p>
        </w:tc>
      </w:tr>
    </w:tbl>
    <w:p w14:paraId="54281D1A" w14:textId="77777777" w:rsidR="008A5609" w:rsidRPr="00CC7EF3" w:rsidRDefault="008A5609" w:rsidP="008A5609">
      <w:pPr>
        <w:rPr>
          <w:sz w:val="24"/>
          <w:szCs w:val="24"/>
        </w:rPr>
      </w:pPr>
    </w:p>
    <w:p w14:paraId="44E530B8" w14:textId="21F15D7E" w:rsidR="0083011F" w:rsidRPr="00CC7EF3" w:rsidRDefault="0083011F" w:rsidP="00371AF7">
      <w:pPr>
        <w:rPr>
          <w:sz w:val="24"/>
          <w:szCs w:val="24"/>
        </w:rPr>
      </w:pPr>
    </w:p>
    <w:p w14:paraId="2C580F13" w14:textId="775EDAC1" w:rsidR="0083011F" w:rsidRDefault="0083011F" w:rsidP="0083011F">
      <w:pPr>
        <w:pStyle w:val="ListParagraph"/>
        <w:numPr>
          <w:ilvl w:val="0"/>
          <w:numId w:val="2"/>
        </w:numPr>
        <w:rPr>
          <w:sz w:val="24"/>
          <w:szCs w:val="24"/>
        </w:rPr>
      </w:pPr>
      <w:r>
        <w:rPr>
          <w:sz w:val="24"/>
          <w:szCs w:val="24"/>
        </w:rPr>
        <w:t>Serve High Needs Populations has a maximum score of 30 points.</w:t>
      </w:r>
      <w:r w:rsidR="00CC6765">
        <w:rPr>
          <w:sz w:val="24"/>
          <w:szCs w:val="24"/>
        </w:rPr>
        <w:t xml:space="preserve"> (</w:t>
      </w:r>
      <w:proofErr w:type="gramStart"/>
      <w:r w:rsidR="00CC6765">
        <w:rPr>
          <w:sz w:val="24"/>
          <w:szCs w:val="24"/>
        </w:rPr>
        <w:t>see</w:t>
      </w:r>
      <w:proofErr w:type="gramEnd"/>
      <w:r w:rsidR="00CC6765">
        <w:rPr>
          <w:sz w:val="24"/>
          <w:szCs w:val="24"/>
        </w:rPr>
        <w:t xml:space="preserve"> application for more information)</w:t>
      </w:r>
    </w:p>
    <w:p w14:paraId="1EB493D3" w14:textId="77777777" w:rsidR="003F140E" w:rsidRDefault="003F140E" w:rsidP="003F140E">
      <w:pPr>
        <w:pStyle w:val="ListParagraph"/>
        <w:rPr>
          <w:sz w:val="24"/>
          <w:szCs w:val="24"/>
        </w:rPr>
      </w:pPr>
    </w:p>
    <w:p w14:paraId="687B4497" w14:textId="77777777" w:rsidR="0083011F" w:rsidRDefault="0083011F" w:rsidP="0083011F">
      <w:pPr>
        <w:pStyle w:val="ListParagraph"/>
        <w:rPr>
          <w:sz w:val="24"/>
          <w:szCs w:val="24"/>
        </w:rPr>
      </w:pPr>
    </w:p>
    <w:p w14:paraId="295BB8FF" w14:textId="0B2CEFAE" w:rsidR="0083011F" w:rsidRDefault="0083011F" w:rsidP="0083011F">
      <w:pPr>
        <w:pStyle w:val="ListParagraph"/>
        <w:numPr>
          <w:ilvl w:val="0"/>
          <w:numId w:val="2"/>
        </w:numPr>
        <w:rPr>
          <w:sz w:val="24"/>
          <w:szCs w:val="24"/>
        </w:rPr>
      </w:pPr>
      <w:r>
        <w:rPr>
          <w:sz w:val="24"/>
          <w:szCs w:val="24"/>
        </w:rPr>
        <w:lastRenderedPageBreak/>
        <w:t>Equity Factors has a maximum score of</w:t>
      </w:r>
      <w:r w:rsidR="005F47F2">
        <w:rPr>
          <w:sz w:val="24"/>
          <w:szCs w:val="24"/>
        </w:rPr>
        <w:t xml:space="preserve"> 15</w:t>
      </w:r>
      <w:r>
        <w:rPr>
          <w:sz w:val="24"/>
          <w:szCs w:val="24"/>
        </w:rPr>
        <w:t xml:space="preserve"> points. </w:t>
      </w:r>
    </w:p>
    <w:tbl>
      <w:tblPr>
        <w:tblStyle w:val="TableGrid"/>
        <w:tblW w:w="9265" w:type="dxa"/>
        <w:tblInd w:w="720" w:type="dxa"/>
        <w:tblLook w:val="04A0" w:firstRow="1" w:lastRow="0" w:firstColumn="1" w:lastColumn="0" w:noHBand="0" w:noVBand="1"/>
      </w:tblPr>
      <w:tblGrid>
        <w:gridCol w:w="3145"/>
        <w:gridCol w:w="3150"/>
        <w:gridCol w:w="1170"/>
        <w:gridCol w:w="1800"/>
      </w:tblGrid>
      <w:tr w:rsidR="008368EB" w14:paraId="58D5A565" w14:textId="77777777" w:rsidTr="008368EB">
        <w:tc>
          <w:tcPr>
            <w:tcW w:w="3145" w:type="dxa"/>
            <w:vMerge w:val="restart"/>
          </w:tcPr>
          <w:p w14:paraId="05A875F8" w14:textId="44F19169" w:rsidR="008368EB" w:rsidRDefault="008368EB" w:rsidP="005F47F2">
            <w:pPr>
              <w:pStyle w:val="ListParagraph"/>
              <w:ind w:left="0"/>
              <w:rPr>
                <w:sz w:val="24"/>
                <w:szCs w:val="24"/>
              </w:rPr>
            </w:pPr>
            <w:r>
              <w:rPr>
                <w:sz w:val="24"/>
                <w:szCs w:val="24"/>
              </w:rPr>
              <w:t xml:space="preserve">Plan to ensure equity in the delivery of services, including steps the program will take to identify and overcome barriers to participation faced by underserved populations </w:t>
            </w:r>
          </w:p>
        </w:tc>
        <w:tc>
          <w:tcPr>
            <w:tcW w:w="3150" w:type="dxa"/>
          </w:tcPr>
          <w:p w14:paraId="2AC258F4" w14:textId="305BC907" w:rsidR="008368EB" w:rsidRDefault="008368EB" w:rsidP="005F47F2">
            <w:pPr>
              <w:pStyle w:val="ListParagraph"/>
              <w:ind w:left="0"/>
              <w:rPr>
                <w:sz w:val="24"/>
                <w:szCs w:val="24"/>
              </w:rPr>
            </w:pPr>
            <w:r>
              <w:rPr>
                <w:sz w:val="24"/>
                <w:szCs w:val="24"/>
              </w:rPr>
              <w:t>Plan clearly defines how program will ensure all persons have equal access to services = 15</w:t>
            </w:r>
          </w:p>
        </w:tc>
        <w:tc>
          <w:tcPr>
            <w:tcW w:w="1170" w:type="dxa"/>
            <w:vMerge w:val="restart"/>
          </w:tcPr>
          <w:p w14:paraId="697A25BD" w14:textId="77777777" w:rsidR="008368EB" w:rsidRDefault="008368EB" w:rsidP="005F47F2">
            <w:pPr>
              <w:pStyle w:val="ListParagraph"/>
              <w:ind w:left="0"/>
              <w:rPr>
                <w:sz w:val="24"/>
                <w:szCs w:val="24"/>
              </w:rPr>
            </w:pPr>
            <w:r>
              <w:rPr>
                <w:sz w:val="24"/>
                <w:szCs w:val="24"/>
              </w:rPr>
              <w:t xml:space="preserve">15 points </w:t>
            </w:r>
          </w:p>
          <w:p w14:paraId="7CDB4268" w14:textId="084F68F5" w:rsidR="008368EB" w:rsidRDefault="008368EB" w:rsidP="005F47F2">
            <w:pPr>
              <w:pStyle w:val="ListParagraph"/>
              <w:ind w:left="0"/>
              <w:rPr>
                <w:sz w:val="24"/>
                <w:szCs w:val="24"/>
              </w:rPr>
            </w:pPr>
            <w:r>
              <w:rPr>
                <w:sz w:val="24"/>
                <w:szCs w:val="24"/>
              </w:rPr>
              <w:t>possible</w:t>
            </w:r>
          </w:p>
        </w:tc>
        <w:tc>
          <w:tcPr>
            <w:tcW w:w="1800" w:type="dxa"/>
            <w:vMerge w:val="restart"/>
          </w:tcPr>
          <w:p w14:paraId="028F91B6" w14:textId="77777777" w:rsidR="008368EB" w:rsidRDefault="008368EB" w:rsidP="005F47F2">
            <w:pPr>
              <w:pStyle w:val="ListParagraph"/>
              <w:ind w:left="0"/>
              <w:rPr>
                <w:sz w:val="24"/>
                <w:szCs w:val="24"/>
              </w:rPr>
            </w:pPr>
          </w:p>
        </w:tc>
      </w:tr>
      <w:tr w:rsidR="008368EB" w14:paraId="7CD6CC3F" w14:textId="77777777" w:rsidTr="008368EB">
        <w:tc>
          <w:tcPr>
            <w:tcW w:w="3145" w:type="dxa"/>
            <w:vMerge/>
          </w:tcPr>
          <w:p w14:paraId="54DF33EA" w14:textId="77777777" w:rsidR="008368EB" w:rsidRDefault="008368EB" w:rsidP="005F47F2">
            <w:pPr>
              <w:pStyle w:val="ListParagraph"/>
              <w:ind w:left="0"/>
              <w:rPr>
                <w:sz w:val="24"/>
                <w:szCs w:val="24"/>
              </w:rPr>
            </w:pPr>
          </w:p>
        </w:tc>
        <w:tc>
          <w:tcPr>
            <w:tcW w:w="3150" w:type="dxa"/>
          </w:tcPr>
          <w:p w14:paraId="11D7778B" w14:textId="5EDD4200" w:rsidR="008368EB" w:rsidRDefault="008368EB" w:rsidP="005F47F2">
            <w:pPr>
              <w:pStyle w:val="ListParagraph"/>
              <w:ind w:left="0"/>
              <w:rPr>
                <w:sz w:val="24"/>
                <w:szCs w:val="24"/>
              </w:rPr>
            </w:pPr>
            <w:r>
              <w:rPr>
                <w:sz w:val="24"/>
                <w:szCs w:val="24"/>
              </w:rPr>
              <w:t>Basic understanding of potential barriers facing underserved populations without specific plan to overcome barriers = 7</w:t>
            </w:r>
          </w:p>
        </w:tc>
        <w:tc>
          <w:tcPr>
            <w:tcW w:w="1170" w:type="dxa"/>
            <w:vMerge/>
          </w:tcPr>
          <w:p w14:paraId="1211D9AE" w14:textId="77777777" w:rsidR="008368EB" w:rsidRDefault="008368EB" w:rsidP="005F47F2">
            <w:pPr>
              <w:pStyle w:val="ListParagraph"/>
              <w:ind w:left="0"/>
              <w:rPr>
                <w:sz w:val="24"/>
                <w:szCs w:val="24"/>
              </w:rPr>
            </w:pPr>
          </w:p>
        </w:tc>
        <w:tc>
          <w:tcPr>
            <w:tcW w:w="1800" w:type="dxa"/>
            <w:vMerge/>
          </w:tcPr>
          <w:p w14:paraId="51D894F1" w14:textId="77777777" w:rsidR="008368EB" w:rsidRDefault="008368EB" w:rsidP="005F47F2">
            <w:pPr>
              <w:pStyle w:val="ListParagraph"/>
              <w:ind w:left="0"/>
              <w:rPr>
                <w:sz w:val="24"/>
                <w:szCs w:val="24"/>
              </w:rPr>
            </w:pPr>
          </w:p>
        </w:tc>
      </w:tr>
      <w:tr w:rsidR="008368EB" w14:paraId="460D4965" w14:textId="77777777" w:rsidTr="008368EB">
        <w:tc>
          <w:tcPr>
            <w:tcW w:w="3145" w:type="dxa"/>
            <w:vMerge/>
          </w:tcPr>
          <w:p w14:paraId="6FBFB010" w14:textId="77777777" w:rsidR="008368EB" w:rsidRDefault="008368EB" w:rsidP="005F47F2">
            <w:pPr>
              <w:pStyle w:val="ListParagraph"/>
              <w:ind w:left="0"/>
              <w:rPr>
                <w:sz w:val="24"/>
                <w:szCs w:val="24"/>
              </w:rPr>
            </w:pPr>
          </w:p>
        </w:tc>
        <w:tc>
          <w:tcPr>
            <w:tcW w:w="3150" w:type="dxa"/>
          </w:tcPr>
          <w:p w14:paraId="27D2466E" w14:textId="7A8DE658" w:rsidR="008368EB" w:rsidRDefault="008368EB" w:rsidP="005F47F2">
            <w:pPr>
              <w:pStyle w:val="ListParagraph"/>
              <w:ind w:left="0"/>
              <w:rPr>
                <w:sz w:val="24"/>
                <w:szCs w:val="24"/>
              </w:rPr>
            </w:pPr>
            <w:r>
              <w:rPr>
                <w:sz w:val="24"/>
                <w:szCs w:val="24"/>
              </w:rPr>
              <w:t xml:space="preserve">Plan is vague and poorly </w:t>
            </w:r>
            <w:proofErr w:type="gramStart"/>
            <w:r>
              <w:rPr>
                <w:sz w:val="24"/>
                <w:szCs w:val="24"/>
              </w:rPr>
              <w:t>structured</w:t>
            </w:r>
            <w:proofErr w:type="gramEnd"/>
            <w:r>
              <w:rPr>
                <w:sz w:val="24"/>
                <w:szCs w:val="24"/>
              </w:rPr>
              <w:t xml:space="preserve"> or information is missing = 0</w:t>
            </w:r>
          </w:p>
        </w:tc>
        <w:tc>
          <w:tcPr>
            <w:tcW w:w="1170" w:type="dxa"/>
            <w:vMerge/>
          </w:tcPr>
          <w:p w14:paraId="48E4C419" w14:textId="77777777" w:rsidR="008368EB" w:rsidRDefault="008368EB" w:rsidP="005F47F2">
            <w:pPr>
              <w:pStyle w:val="ListParagraph"/>
              <w:ind w:left="0"/>
              <w:rPr>
                <w:sz w:val="24"/>
                <w:szCs w:val="24"/>
              </w:rPr>
            </w:pPr>
          </w:p>
        </w:tc>
        <w:tc>
          <w:tcPr>
            <w:tcW w:w="1800" w:type="dxa"/>
            <w:vMerge/>
          </w:tcPr>
          <w:p w14:paraId="0B43E0A1" w14:textId="77777777" w:rsidR="008368EB" w:rsidRDefault="008368EB" w:rsidP="005F47F2">
            <w:pPr>
              <w:pStyle w:val="ListParagraph"/>
              <w:ind w:left="0"/>
              <w:rPr>
                <w:sz w:val="24"/>
                <w:szCs w:val="24"/>
              </w:rPr>
            </w:pPr>
          </w:p>
        </w:tc>
      </w:tr>
    </w:tbl>
    <w:p w14:paraId="6CCB3C3E" w14:textId="18F2E48C" w:rsidR="005F47F2" w:rsidRDefault="005F47F2" w:rsidP="005F47F2">
      <w:pPr>
        <w:pStyle w:val="ListParagraph"/>
        <w:rPr>
          <w:sz w:val="24"/>
          <w:szCs w:val="24"/>
        </w:rPr>
      </w:pPr>
    </w:p>
    <w:p w14:paraId="538B7D88" w14:textId="252E0D84" w:rsidR="0083011F" w:rsidRPr="005F47F2" w:rsidRDefault="0083011F" w:rsidP="005F47F2">
      <w:pPr>
        <w:rPr>
          <w:sz w:val="24"/>
          <w:szCs w:val="24"/>
        </w:rPr>
      </w:pPr>
    </w:p>
    <w:p w14:paraId="2783A68C" w14:textId="77777777" w:rsidR="00FB5FDE" w:rsidRDefault="00FB5FDE" w:rsidP="00FB5FDE">
      <w:pPr>
        <w:pStyle w:val="ListParagraph"/>
        <w:ind w:left="1440"/>
        <w:rPr>
          <w:sz w:val="24"/>
          <w:szCs w:val="24"/>
        </w:rPr>
      </w:pPr>
    </w:p>
    <w:p w14:paraId="22FBEE83" w14:textId="4B14760A" w:rsidR="00F959AC" w:rsidRPr="00CC7EF3" w:rsidRDefault="00FB5FDE" w:rsidP="00BF3ABA">
      <w:pPr>
        <w:pStyle w:val="ListParagraph"/>
        <w:numPr>
          <w:ilvl w:val="0"/>
          <w:numId w:val="2"/>
        </w:numPr>
        <w:rPr>
          <w:sz w:val="24"/>
          <w:szCs w:val="24"/>
        </w:rPr>
      </w:pPr>
      <w:r>
        <w:rPr>
          <w:sz w:val="24"/>
          <w:szCs w:val="24"/>
        </w:rPr>
        <w:t>Other Local Criteria has a maximum score of 20 points.</w:t>
      </w:r>
    </w:p>
    <w:p w14:paraId="37DDABB3" w14:textId="77777777" w:rsidR="00B22DF8" w:rsidRPr="00B22DF8" w:rsidRDefault="00B22DF8" w:rsidP="00BF3ABA">
      <w:pPr>
        <w:rPr>
          <w:sz w:val="24"/>
          <w:szCs w:val="24"/>
        </w:rPr>
      </w:pPr>
    </w:p>
    <w:sectPr w:rsidR="00B22DF8" w:rsidRPr="00B2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D0E46"/>
    <w:multiLevelType w:val="hybridMultilevel"/>
    <w:tmpl w:val="00E24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A72C88"/>
    <w:multiLevelType w:val="hybridMultilevel"/>
    <w:tmpl w:val="925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583412">
    <w:abstractNumId w:val="1"/>
  </w:num>
  <w:num w:numId="2" w16cid:durableId="22449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BA"/>
    <w:rsid w:val="00023FEB"/>
    <w:rsid w:val="00027603"/>
    <w:rsid w:val="00131B50"/>
    <w:rsid w:val="00170AFC"/>
    <w:rsid w:val="00192A57"/>
    <w:rsid w:val="002B018D"/>
    <w:rsid w:val="00371AF7"/>
    <w:rsid w:val="003B00FE"/>
    <w:rsid w:val="003F140E"/>
    <w:rsid w:val="004716ED"/>
    <w:rsid w:val="004F2D7F"/>
    <w:rsid w:val="00573187"/>
    <w:rsid w:val="005A40A0"/>
    <w:rsid w:val="005B71CB"/>
    <w:rsid w:val="005E0206"/>
    <w:rsid w:val="005F47F2"/>
    <w:rsid w:val="0065334D"/>
    <w:rsid w:val="00681081"/>
    <w:rsid w:val="006F266D"/>
    <w:rsid w:val="00741221"/>
    <w:rsid w:val="00777F26"/>
    <w:rsid w:val="008041C2"/>
    <w:rsid w:val="0083011F"/>
    <w:rsid w:val="008368EB"/>
    <w:rsid w:val="00853DB4"/>
    <w:rsid w:val="00866C85"/>
    <w:rsid w:val="008A5609"/>
    <w:rsid w:val="00A900CD"/>
    <w:rsid w:val="00AE30A8"/>
    <w:rsid w:val="00B22DF8"/>
    <w:rsid w:val="00B8632F"/>
    <w:rsid w:val="00BF3ABA"/>
    <w:rsid w:val="00C004DF"/>
    <w:rsid w:val="00C25950"/>
    <w:rsid w:val="00CC6765"/>
    <w:rsid w:val="00CC7EF3"/>
    <w:rsid w:val="00CD3BE1"/>
    <w:rsid w:val="00CE7E9E"/>
    <w:rsid w:val="00D57BB1"/>
    <w:rsid w:val="00E76D2A"/>
    <w:rsid w:val="00F5044B"/>
    <w:rsid w:val="00F959AC"/>
    <w:rsid w:val="00FA5093"/>
    <w:rsid w:val="00FB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3412"/>
  <w15:chartTrackingRefBased/>
  <w15:docId w15:val="{333E959E-8B35-4CD2-B049-5A3F25F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66D"/>
    <w:rPr>
      <w:color w:val="0000FF"/>
      <w:u w:val="single"/>
    </w:rPr>
  </w:style>
  <w:style w:type="paragraph" w:styleId="ListParagraph">
    <w:name w:val="List Paragraph"/>
    <w:basedOn w:val="Normal"/>
    <w:uiPriority w:val="34"/>
    <w:qFormat/>
    <w:rsid w:val="00853DB4"/>
    <w:pPr>
      <w:ind w:left="720"/>
      <w:contextualSpacing/>
    </w:pPr>
  </w:style>
  <w:style w:type="character" w:styleId="UnresolvedMention">
    <w:name w:val="Unresolved Mention"/>
    <w:basedOn w:val="DefaultParagraphFont"/>
    <w:uiPriority w:val="99"/>
    <w:semiHidden/>
    <w:unhideWhenUsed/>
    <w:rsid w:val="004F2D7F"/>
    <w:rPr>
      <w:color w:val="605E5C"/>
      <w:shd w:val="clear" w:color="auto" w:fill="E1DFDD"/>
    </w:rPr>
  </w:style>
  <w:style w:type="character" w:styleId="CommentReference">
    <w:name w:val="annotation reference"/>
    <w:basedOn w:val="DefaultParagraphFont"/>
    <w:uiPriority w:val="99"/>
    <w:semiHidden/>
    <w:unhideWhenUsed/>
    <w:rsid w:val="005B71CB"/>
    <w:rPr>
      <w:sz w:val="16"/>
      <w:szCs w:val="16"/>
    </w:rPr>
  </w:style>
  <w:style w:type="paragraph" w:styleId="CommentText">
    <w:name w:val="annotation text"/>
    <w:basedOn w:val="Normal"/>
    <w:link w:val="CommentTextChar"/>
    <w:uiPriority w:val="99"/>
    <w:unhideWhenUsed/>
    <w:rsid w:val="005B71CB"/>
    <w:pPr>
      <w:spacing w:line="240" w:lineRule="auto"/>
    </w:pPr>
    <w:rPr>
      <w:sz w:val="20"/>
      <w:szCs w:val="20"/>
    </w:rPr>
  </w:style>
  <w:style w:type="character" w:customStyle="1" w:styleId="CommentTextChar">
    <w:name w:val="Comment Text Char"/>
    <w:basedOn w:val="DefaultParagraphFont"/>
    <w:link w:val="CommentText"/>
    <w:uiPriority w:val="99"/>
    <w:rsid w:val="005B71CB"/>
    <w:rPr>
      <w:sz w:val="20"/>
      <w:szCs w:val="20"/>
    </w:rPr>
  </w:style>
  <w:style w:type="paragraph" w:styleId="CommentSubject">
    <w:name w:val="annotation subject"/>
    <w:basedOn w:val="CommentText"/>
    <w:next w:val="CommentText"/>
    <w:link w:val="CommentSubjectChar"/>
    <w:uiPriority w:val="99"/>
    <w:semiHidden/>
    <w:unhideWhenUsed/>
    <w:rsid w:val="005B71CB"/>
    <w:rPr>
      <w:b/>
      <w:bCs/>
    </w:rPr>
  </w:style>
  <w:style w:type="character" w:customStyle="1" w:styleId="CommentSubjectChar">
    <w:name w:val="Comment Subject Char"/>
    <w:basedOn w:val="CommentTextChar"/>
    <w:link w:val="CommentSubject"/>
    <w:uiPriority w:val="99"/>
    <w:semiHidden/>
    <w:rsid w:val="005B71CB"/>
    <w:rPr>
      <w:b/>
      <w:bCs/>
      <w:sz w:val="20"/>
      <w:szCs w:val="20"/>
    </w:rPr>
  </w:style>
  <w:style w:type="table" w:styleId="TableGrid">
    <w:name w:val="Table Grid"/>
    <w:basedOn w:val="TableNormal"/>
    <w:uiPriority w:val="39"/>
    <w:rsid w:val="008A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n.Swann@yourlocaluw.org" TargetMode="External"/><Relationship Id="rId5" Type="http://schemas.openxmlformats.org/officeDocument/2006/relationships/hyperlink" Target="https://www.hudexchange.info/programs/e-snaps/fy-2023-coc-program-nofa-coc-program-compet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Dowell</dc:creator>
  <cp:keywords/>
  <dc:description/>
  <cp:lastModifiedBy>Kristen Swann</cp:lastModifiedBy>
  <cp:revision>5</cp:revision>
  <dcterms:created xsi:type="dcterms:W3CDTF">2023-08-10T19:47:00Z</dcterms:created>
  <dcterms:modified xsi:type="dcterms:W3CDTF">2023-08-10T21:42:00Z</dcterms:modified>
</cp:coreProperties>
</file>